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6C55F">
      <w:pPr>
        <w:spacing w:line="500" w:lineRule="exact"/>
        <w:ind w:firstLine="562" w:firstLineChars="200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附件1：</w:t>
      </w:r>
    </w:p>
    <w:p w14:paraId="02DB1187"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2025年安徽电子信息职业技术学院</w:t>
      </w:r>
    </w:p>
    <w:p w14:paraId="1E0062F1">
      <w:pPr>
        <w:adjustRightInd w:val="0"/>
        <w:snapToGrid w:val="0"/>
        <w:spacing w:line="500" w:lineRule="exact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市场营销技能大赛赛项规程</w:t>
      </w:r>
    </w:p>
    <w:p w14:paraId="34D4E48E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</w:p>
    <w:p w14:paraId="3A091527">
      <w:pPr>
        <w:spacing w:line="48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一、赛项名称</w:t>
      </w:r>
    </w:p>
    <w:p w14:paraId="3EF71162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赛项名称：市场营销技能</w:t>
      </w:r>
    </w:p>
    <w:p w14:paraId="420AEDE8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Style w:val="6"/>
          <w:rFonts w:hint="eastAsia" w:ascii="仿宋_GB2312" w:hAnsi="Arial" w:eastAsia="仿宋_GB2312" w:cs="Arial"/>
          <w:color w:val="222222"/>
          <w:sz w:val="28"/>
          <w:szCs w:val="28"/>
        </w:rPr>
        <w:t>英文翻译：</w:t>
      </w:r>
      <w:r>
        <w:rPr>
          <w:rFonts w:hint="eastAsia" w:hAnsi="仿宋"/>
          <w:sz w:val="28"/>
          <w:szCs w:val="28"/>
        </w:rPr>
        <w:t>Marketing skills</w:t>
      </w:r>
    </w:p>
    <w:p w14:paraId="436ED234">
      <w:pPr>
        <w:spacing w:line="480" w:lineRule="exact"/>
        <w:ind w:firstLine="562" w:firstLineChars="200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二、竞赛目的</w:t>
      </w:r>
    </w:p>
    <w:p w14:paraId="322C2278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过情境营销竞赛内容，考察参赛选手市场信息分析、目标市场选择、营销策略策划、会计报表分析等市场营销核心技能。通过竞赛，全方位展示参赛选手在在组织管理、团队合作、创新思维等方面的职业素养，为各院校师生提供了交流借鉴的平台，引领高职院校市场营销专业建设和教学改革，推进专业建设对接产业发展、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才培养过程深度校企合作，提高市场营销高等职业人才培养质量和社会认可度与影响力。</w:t>
      </w:r>
    </w:p>
    <w:p w14:paraId="61A08FB0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三、竞赛内容</w:t>
      </w:r>
    </w:p>
    <w:p w14:paraId="36A74B6B">
      <w:pPr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赛项围绕目标市场选择、营销策略策划、会计报表分析等市场营销核心技能，研发了以生产厂家市场营销经营主体的竞赛内容，建设了厂家虚拟营销资源。设计的生产厂家营销竞赛内容从商品需求信息的采集与分析、目标市场选择、营销策略组合到最后会计报表填制等典型工作任务。竞赛中选手会运用到经济学基础、市场营销学、企业管理、营销策划、统计分析、财务会计、计算机运用、广告学基础、市场调查与分析、消费心理学等十多门课程综合知识。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4261"/>
      </w:tblGrid>
      <w:tr w14:paraId="442D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9" w:type="dxa"/>
            <w:shd w:val="clear" w:color="auto" w:fill="auto"/>
            <w:noWrap w:val="0"/>
            <w:vAlign w:val="center"/>
          </w:tcPr>
          <w:p w14:paraId="0BA9013C">
            <w:pPr>
              <w:pStyle w:val="2"/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比赛内容</w:t>
            </w: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 w14:paraId="715BAAC4">
            <w:pPr>
              <w:pStyle w:val="2"/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</w:tr>
      <w:tr w14:paraId="34B8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9" w:type="dxa"/>
            <w:shd w:val="clear" w:color="auto" w:fill="auto"/>
            <w:noWrap w:val="0"/>
            <w:vAlign w:val="top"/>
          </w:tcPr>
          <w:p w14:paraId="2A6B6C8F">
            <w:pPr>
              <w:spacing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情境营销：各参赛队在同一个模拟市场环境条件下，通过目标市场分析与选择、营销策略组合和财务报表分析，使企业的效益最大化。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 w14:paraId="53A1C466">
            <w:pPr>
              <w:pStyle w:val="2"/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0414346">
            <w:pPr>
              <w:pStyle w:val="2"/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初赛（120分钟）</w:t>
            </w:r>
          </w:p>
          <w:p w14:paraId="498CD618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决赛（180分钟）</w:t>
            </w:r>
          </w:p>
        </w:tc>
      </w:tr>
    </w:tbl>
    <w:p w14:paraId="6668A5DD">
      <w:pPr>
        <w:spacing w:line="48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四、竞赛方式</w:t>
      </w:r>
    </w:p>
    <w:p w14:paraId="2145636D">
      <w:p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本赛项为团体赛。</w:t>
      </w:r>
      <w:r>
        <w:rPr>
          <w:rFonts w:hint="eastAsia" w:ascii="仿宋_GB2312" w:hAnsi="华文仿宋" w:eastAsia="仿宋_GB2312" w:cs="Arial"/>
          <w:kern w:val="0"/>
          <w:sz w:val="28"/>
          <w:szCs w:val="28"/>
        </w:rPr>
        <w:t>以组队形式参赛，同一人不得同时报名不同参赛队伍。每支参赛队由2-4名参赛选手、1-2名指导教师组成。</w:t>
      </w:r>
    </w:p>
    <w:p w14:paraId="50F5E743">
      <w:pPr>
        <w:spacing w:line="48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五、竞赛试题</w:t>
      </w:r>
    </w:p>
    <w:p w14:paraId="4E2D631F">
      <w:pPr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本赛项公开试题。</w:t>
      </w:r>
    </w:p>
    <w:p w14:paraId="75193470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1.赛题背景资料</w:t>
      </w:r>
    </w:p>
    <w:p w14:paraId="121D9401">
      <w:pPr>
        <w:spacing w:line="500" w:lineRule="exact"/>
        <w:ind w:firstLine="560" w:firstLineChars="200"/>
        <w:rPr>
          <w:rFonts w:hint="eastAsia" w:ascii="仿宋_GB2312" w:hAnsi="华文仿宋" w:eastAsia="仿宋_GB2312"/>
          <w:color w:val="0D0D0D"/>
          <w:sz w:val="30"/>
          <w:szCs w:val="30"/>
        </w:rPr>
      </w:pPr>
      <w:r>
        <w:rPr>
          <w:rFonts w:hint="eastAsia" w:ascii="仿宋_GB2312" w:hAnsi="仿宋" w:eastAsia="仿宋_GB2312"/>
          <w:sz w:val="28"/>
          <w:szCs w:val="28"/>
        </w:rPr>
        <w:t>赛项提供了P1、P2、P3、P4四类产品在五个市场未来三年的销售价格、销售量的预测资料 。参赛团队组成企业营销的核心团队，负责的企业是一个生产型企业，以销售P1产品为主营业务，资金充裕，银行信用良好，但是产品单一，只在本地市场销售，竞争越来越激烈，预计未来几年销售收入将继续下降。参赛团队通过目标市场分析与选择、营销策略组合和财务报表分析，使企业的效益最大化。</w:t>
      </w:r>
    </w:p>
    <w:p w14:paraId="55302FDF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2.目标市场分析与选择</w:t>
      </w:r>
    </w:p>
    <w:p w14:paraId="4250E191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软件提供P1、P2、P3、P4四类新产品在五个市场未来三年的需求预测图（图1），获取详细的需求信息。选手通过市场预测图进行市场分析，决定是否购买调研报告（图2），通过购买市场调研报告，了解直销客户、批发商、 零售商（六类消费人群）的需求信息，确定目标市场，制定营销计划（表1）。</w:t>
      </w:r>
    </w:p>
    <w:p w14:paraId="3A8343AB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1133475</wp:posOffset>
            </wp:positionV>
            <wp:extent cx="5608955" cy="2181225"/>
            <wp:effectExtent l="0" t="0" r="10795" b="9525"/>
            <wp:wrapSquare wrapText="bothSides"/>
            <wp:docPr id="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6"/>
                    <pic:cNvPicPr>
                      <a:picLocks noChangeAspect="1"/>
                    </pic:cNvPicPr>
                  </pic:nvPicPr>
                  <pic:blipFill>
                    <a:blip r:embed="rId4"/>
                    <a:srcRect r="103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熟悉市场细分的概念和意义，掌握目标市场策略选择时要考虑的主要因素，即企业的资源和能力、产品的性质和生命周期、竞争对手的市场策略。</w:t>
      </w:r>
    </w:p>
    <w:p w14:paraId="28BA9FA5">
      <w:pPr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图1</w:t>
      </w:r>
    </w:p>
    <w:p w14:paraId="33171295">
      <w:pPr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204470</wp:posOffset>
            </wp:positionV>
            <wp:extent cx="5667375" cy="1743075"/>
            <wp:effectExtent l="0" t="0" r="9525" b="9525"/>
            <wp:wrapSquare wrapText="bothSides"/>
            <wp:docPr id="4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图2</w:t>
      </w:r>
    </w:p>
    <w:tbl>
      <w:tblPr>
        <w:tblStyle w:val="4"/>
        <w:tblpPr w:leftFromText="180" w:rightFromText="180" w:vertAnchor="text" w:horzAnchor="margin" w:tblpY="457"/>
        <w:tblW w:w="87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67"/>
        <w:gridCol w:w="765"/>
        <w:gridCol w:w="992"/>
        <w:gridCol w:w="1276"/>
        <w:gridCol w:w="1318"/>
        <w:gridCol w:w="1275"/>
        <w:gridCol w:w="1180"/>
      </w:tblGrid>
      <w:tr w14:paraId="101C1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128" w:type="dxa"/>
            <w:noWrap w:val="0"/>
            <w:vAlign w:val="center"/>
          </w:tcPr>
          <w:p w14:paraId="00CFD85B">
            <w:r>
              <w:rPr>
                <w:rFonts w:hint="eastAsia"/>
              </w:rPr>
              <w:t>季度</w:t>
            </w:r>
          </w:p>
        </w:tc>
        <w:tc>
          <w:tcPr>
            <w:tcW w:w="767" w:type="dxa"/>
            <w:noWrap w:val="0"/>
            <w:vAlign w:val="center"/>
          </w:tcPr>
          <w:p w14:paraId="746A21B8">
            <w:r>
              <w:rPr>
                <w:rFonts w:hint="eastAsia"/>
              </w:rPr>
              <w:t>产品</w:t>
            </w:r>
          </w:p>
        </w:tc>
        <w:tc>
          <w:tcPr>
            <w:tcW w:w="765" w:type="dxa"/>
            <w:noWrap w:val="0"/>
            <w:vAlign w:val="center"/>
          </w:tcPr>
          <w:p w14:paraId="3E7E24CE">
            <w:r>
              <w:rPr>
                <w:rFonts w:hint="eastAsia"/>
              </w:rPr>
              <w:t>功能</w:t>
            </w:r>
          </w:p>
        </w:tc>
        <w:tc>
          <w:tcPr>
            <w:tcW w:w="992" w:type="dxa"/>
            <w:noWrap w:val="0"/>
            <w:vAlign w:val="center"/>
          </w:tcPr>
          <w:p w14:paraId="4894F533">
            <w:r>
              <w:rPr>
                <w:rFonts w:hint="eastAsia"/>
              </w:rPr>
              <w:t>市场</w:t>
            </w:r>
          </w:p>
        </w:tc>
        <w:tc>
          <w:tcPr>
            <w:tcW w:w="1276" w:type="dxa"/>
            <w:noWrap w:val="0"/>
            <w:vAlign w:val="center"/>
          </w:tcPr>
          <w:p w14:paraId="2BB6F563">
            <w:r>
              <w:rPr>
                <w:rFonts w:hint="eastAsia"/>
              </w:rPr>
              <w:t>直销客户数量</w:t>
            </w:r>
          </w:p>
        </w:tc>
        <w:tc>
          <w:tcPr>
            <w:tcW w:w="1318" w:type="dxa"/>
            <w:noWrap w:val="0"/>
            <w:vAlign w:val="center"/>
          </w:tcPr>
          <w:p w14:paraId="6F7B3DDA">
            <w:r>
              <w:rPr>
                <w:rFonts w:hint="eastAsia"/>
              </w:rPr>
              <w:t>批发商数量</w:t>
            </w:r>
          </w:p>
        </w:tc>
        <w:tc>
          <w:tcPr>
            <w:tcW w:w="1275" w:type="dxa"/>
            <w:noWrap w:val="0"/>
            <w:vAlign w:val="center"/>
          </w:tcPr>
          <w:p w14:paraId="4CA69DCE">
            <w:r>
              <w:rPr>
                <w:rFonts w:hint="eastAsia"/>
              </w:rPr>
              <w:t>零售商数量</w:t>
            </w:r>
          </w:p>
        </w:tc>
        <w:tc>
          <w:tcPr>
            <w:tcW w:w="1180" w:type="dxa"/>
            <w:noWrap w:val="0"/>
            <w:vAlign w:val="center"/>
          </w:tcPr>
          <w:p w14:paraId="36E30B5F">
            <w:r>
              <w:rPr>
                <w:rFonts w:hint="eastAsia"/>
              </w:rPr>
              <w:t>估计毛利</w:t>
            </w:r>
          </w:p>
        </w:tc>
      </w:tr>
      <w:tr w14:paraId="21AAD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128" w:type="dxa"/>
            <w:noWrap w:val="0"/>
            <w:vAlign w:val="center"/>
          </w:tcPr>
          <w:p w14:paraId="6004D777">
            <w:r>
              <w:rPr>
                <w:rFonts w:hint="eastAsia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30A9498D">
            <w:r>
              <w:rPr>
                <w:rFonts w:hint="eastAsia"/>
              </w:rPr>
              <w:t>P1</w:t>
            </w:r>
          </w:p>
        </w:tc>
        <w:tc>
          <w:tcPr>
            <w:tcW w:w="765" w:type="dxa"/>
            <w:noWrap w:val="0"/>
            <w:vAlign w:val="center"/>
          </w:tcPr>
          <w:p w14:paraId="4BF3F6FA">
            <w:r>
              <w:rPr>
                <w:rFonts w:hint="eastAsia"/>
              </w:rPr>
              <w:t>F1</w:t>
            </w:r>
          </w:p>
        </w:tc>
        <w:tc>
          <w:tcPr>
            <w:tcW w:w="992" w:type="dxa"/>
            <w:noWrap w:val="0"/>
            <w:vAlign w:val="center"/>
          </w:tcPr>
          <w:p w14:paraId="55E82C3C">
            <w:r>
              <w:rPr>
                <w:rFonts w:hint="eastAsia"/>
              </w:rPr>
              <w:t>东部</w:t>
            </w:r>
          </w:p>
        </w:tc>
        <w:tc>
          <w:tcPr>
            <w:tcW w:w="1276" w:type="dxa"/>
            <w:noWrap w:val="0"/>
            <w:vAlign w:val="center"/>
          </w:tcPr>
          <w:p w14:paraId="09449331">
            <w:r>
              <w:rPr>
                <w:rFonts w:hint="eastAsia"/>
              </w:rPr>
              <w:t>20</w:t>
            </w:r>
          </w:p>
        </w:tc>
        <w:tc>
          <w:tcPr>
            <w:tcW w:w="1318" w:type="dxa"/>
            <w:noWrap w:val="0"/>
            <w:vAlign w:val="center"/>
          </w:tcPr>
          <w:p w14:paraId="7C724E6E">
            <w:r>
              <w:rPr>
                <w:rFonts w:hint="eastAsia"/>
              </w:rPr>
              <w:t>30</w:t>
            </w:r>
          </w:p>
        </w:tc>
        <w:tc>
          <w:tcPr>
            <w:tcW w:w="1275" w:type="dxa"/>
            <w:noWrap w:val="0"/>
            <w:vAlign w:val="center"/>
          </w:tcPr>
          <w:p w14:paraId="7C25D922">
            <w:r>
              <w:rPr>
                <w:rFonts w:hint="eastAsia"/>
              </w:rPr>
              <w:t>60</w:t>
            </w:r>
          </w:p>
        </w:tc>
        <w:tc>
          <w:tcPr>
            <w:tcW w:w="1180" w:type="dxa"/>
            <w:noWrap w:val="0"/>
            <w:vAlign w:val="center"/>
          </w:tcPr>
          <w:p w14:paraId="39D07C93">
            <w:r>
              <w:rPr>
                <w:rFonts w:hint="eastAsia"/>
              </w:rPr>
              <w:t>20</w:t>
            </w:r>
          </w:p>
        </w:tc>
      </w:tr>
      <w:tr w14:paraId="466F4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128" w:type="dxa"/>
            <w:noWrap w:val="0"/>
            <w:vAlign w:val="center"/>
          </w:tcPr>
          <w:p w14:paraId="0E3931FD">
            <w:r>
              <w:rPr>
                <w:rFonts w:hint="eastAsia"/>
              </w:rPr>
              <w:t>2</w:t>
            </w:r>
          </w:p>
        </w:tc>
        <w:tc>
          <w:tcPr>
            <w:tcW w:w="767" w:type="dxa"/>
            <w:noWrap w:val="0"/>
            <w:vAlign w:val="center"/>
          </w:tcPr>
          <w:p w14:paraId="205AAB33">
            <w:r>
              <w:rPr>
                <w:rFonts w:hint="eastAsia"/>
              </w:rPr>
              <w:t>P2</w:t>
            </w:r>
          </w:p>
        </w:tc>
        <w:tc>
          <w:tcPr>
            <w:tcW w:w="765" w:type="dxa"/>
            <w:noWrap w:val="0"/>
            <w:vAlign w:val="center"/>
          </w:tcPr>
          <w:p w14:paraId="35A9A6A4">
            <w:r>
              <w:rPr>
                <w:rFonts w:hint="eastAsia"/>
              </w:rPr>
              <w:t>F1</w:t>
            </w:r>
          </w:p>
        </w:tc>
        <w:tc>
          <w:tcPr>
            <w:tcW w:w="992" w:type="dxa"/>
            <w:noWrap w:val="0"/>
            <w:vAlign w:val="center"/>
          </w:tcPr>
          <w:p w14:paraId="71F4624C">
            <w:r>
              <w:rPr>
                <w:rFonts w:hint="eastAsia"/>
              </w:rPr>
              <w:t>西部</w:t>
            </w:r>
          </w:p>
        </w:tc>
        <w:tc>
          <w:tcPr>
            <w:tcW w:w="1276" w:type="dxa"/>
            <w:noWrap w:val="0"/>
            <w:vAlign w:val="center"/>
          </w:tcPr>
          <w:p w14:paraId="4C8942CD">
            <w:r>
              <w:rPr>
                <w:rFonts w:hint="eastAsia"/>
              </w:rPr>
              <w:t>10</w:t>
            </w:r>
          </w:p>
        </w:tc>
        <w:tc>
          <w:tcPr>
            <w:tcW w:w="1318" w:type="dxa"/>
            <w:noWrap w:val="0"/>
            <w:vAlign w:val="center"/>
          </w:tcPr>
          <w:p w14:paraId="3251662E">
            <w:r>
              <w:rPr>
                <w:rFonts w:hint="eastAsia"/>
              </w:rPr>
              <w:t>60</w:t>
            </w:r>
          </w:p>
        </w:tc>
        <w:tc>
          <w:tcPr>
            <w:tcW w:w="1275" w:type="dxa"/>
            <w:noWrap w:val="0"/>
            <w:vAlign w:val="center"/>
          </w:tcPr>
          <w:p w14:paraId="4BD437DE">
            <w:r>
              <w:rPr>
                <w:rFonts w:hint="eastAsia"/>
              </w:rPr>
              <w:t>30</w:t>
            </w:r>
          </w:p>
        </w:tc>
        <w:tc>
          <w:tcPr>
            <w:tcW w:w="1180" w:type="dxa"/>
            <w:noWrap w:val="0"/>
            <w:vAlign w:val="center"/>
          </w:tcPr>
          <w:p w14:paraId="7057E13D">
            <w:r>
              <w:rPr>
                <w:rFonts w:hint="eastAsia"/>
              </w:rPr>
              <w:t>40</w:t>
            </w:r>
          </w:p>
        </w:tc>
      </w:tr>
    </w:tbl>
    <w:p w14:paraId="2A045854">
      <w:pPr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表1</w:t>
      </w:r>
    </w:p>
    <w:p w14:paraId="1B2CA270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3.价格策略</w:t>
      </w:r>
    </w:p>
    <w:p w14:paraId="443FE33A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HYPERLINK "http://baike.baidu.com/view/581510.htm" \t "_blank"</w:instrText>
      </w:r>
      <w:r>
        <w:rPr>
          <w:rFonts w:hint="eastAsia" w:ascii="仿宋_GB2312" w:hAnsi="仿宋" w:eastAsia="仿宋_GB2312"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定价目标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、确定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HYPERLINK "http://baike.baidu.com/view/195818.htm" \t "_blank"</w:instrText>
      </w:r>
      <w:r>
        <w:rPr>
          <w:rFonts w:hint="eastAsia" w:ascii="仿宋_GB2312" w:hAnsi="仿宋" w:eastAsia="仿宋_GB2312"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需求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、估计成本、选择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HYPERLINK "http://baike.baidu.com/view/583460.htm" \t "_blank"</w:instrText>
      </w:r>
      <w:r>
        <w:rPr>
          <w:rFonts w:hint="eastAsia" w:ascii="仿宋_GB2312" w:hAnsi="仿宋" w:eastAsia="仿宋_GB2312"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定价方法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，制定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HYPERLINK "http://baike.baidu.com/view/940629.htm" \t "_blank"</w:instrText>
      </w:r>
      <w:r>
        <w:rPr>
          <w:rFonts w:hint="eastAsia" w:ascii="仿宋_GB2312" w:hAnsi="仿宋" w:eastAsia="仿宋_GB2312"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最终价格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。比如：企业P1库存较大，直接成本是2，零售市场平均期望价是8，参赛选手制定合适价格。</w:t>
      </w:r>
    </w:p>
    <w:p w14:paraId="74EF2763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检验参赛选手对价格构成要素及影响，定价因素的理解和掌握情况；检验参赛选手对定价目标和原则的熟悉和掌握情况；检验参赛选手对定价程序和方法的掌握和运用情况；检验参赛选手对定价策略的掌握和运用情况。熟悉价格制定的原理和方法，灵活运用价格策略，实现成功营销。</w:t>
      </w:r>
    </w:p>
    <w:p w14:paraId="6F9BC84F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4.渠道策略</w:t>
      </w:r>
    </w:p>
    <w:p w14:paraId="78E3D9CE"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根据调研报告提供四种产品、三种营销渠道的市场预测价格和数量，结合企业自身和竞争对手状况，采用多渠道组合营销手段扩大销售。</w:t>
      </w:r>
    </w:p>
    <w:p w14:paraId="0E08712D">
      <w:pPr>
        <w:spacing w:line="500" w:lineRule="exact"/>
        <w:ind w:firstLine="560" w:firstLineChars="200"/>
        <w:rPr>
          <w:rFonts w:hint="eastAsia" w:ascii="仿宋_GB2312" w:hAnsi="华文仿宋" w:eastAsia="仿宋_GB2312"/>
          <w:color w:val="0D0D0D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熟悉直销、批发、零售三种渠道的概念及特征，掌握影响渠道模式选择的因素：产品因素、市场因素、企业自身因素和竞争对手因素。</w:t>
      </w:r>
    </w:p>
    <w:p w14:paraId="44BB66FC">
      <w:pPr>
        <w:pStyle w:val="7"/>
        <w:numPr>
          <w:ilvl w:val="0"/>
          <w:numId w:val="1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直销：选手只有在进行了直销客户的开发以后，才有机会参与直销客户的投标。投标流程为：投标报名、资格预审、购买标书、投标、中标公示。最低价中标。每个客户开发费用为5W。</w:t>
      </w:r>
    </w:p>
    <w:p w14:paraId="46C519B7">
      <w:pPr>
        <w:pStyle w:val="7"/>
        <w:numPr>
          <w:ilvl w:val="0"/>
          <w:numId w:val="1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批发：选手需根据自身的营销策略，在不同市场上制定不同产品的批发招商广告的投放策略，招商广告费用最低为1W，最高不限制，但必须是整数。选手在投放招商广告完成后，由裁判统一控制选单。</w:t>
      </w:r>
    </w:p>
    <w:p w14:paraId="0CE212F4">
      <w:pPr>
        <w:pStyle w:val="7"/>
        <w:numPr>
          <w:ilvl w:val="0"/>
          <w:numId w:val="1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零售：为了扩大市场，提高销售额，选手需要选择更多合适的零售商进店销售。选手在选择合适的零售商签约以后，需要将自己的产品配送给各个零售商进行销售。</w:t>
      </w:r>
    </w:p>
    <w:p w14:paraId="3E400FBA">
      <w:pPr>
        <w:pStyle w:val="7"/>
        <w:tabs>
          <w:tab w:val="left" w:pos="567"/>
        </w:tabs>
        <w:adjustRightInd w:val="0"/>
        <w:snapToGrid w:val="0"/>
        <w:spacing w:beforeLines="0" w:afterLines="0" w:line="560" w:lineRule="exact"/>
        <w:ind w:left="568" w:firstLine="0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5.促销策略</w:t>
      </w:r>
    </w:p>
    <w:p w14:paraId="0ACC225B">
      <w:pPr>
        <w:pStyle w:val="7"/>
        <w:numPr>
          <w:ilvl w:val="0"/>
          <w:numId w:val="2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  <w:sz w:val="30"/>
          <w:szCs w:val="30"/>
        </w:rPr>
      </w:pPr>
      <w:r>
        <w:rPr>
          <w:rFonts w:hint="eastAsia" w:ascii="仿宋_GB2312" w:hAnsi="华文仿宋"/>
        </w:rPr>
        <w:t>销售促进：选手采用满就送、多买折扣、买第几件折扣等促销活动，吸引不定型消费人群，增大销售额。熟悉销售促进的概念，掌握销售促进的活动方式。</w:t>
      </w:r>
    </w:p>
    <w:p w14:paraId="54A379B5">
      <w:pPr>
        <w:pStyle w:val="7"/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firstLine="0" w:firstLineChars="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158115</wp:posOffset>
            </wp:positionV>
            <wp:extent cx="5486400" cy="1790700"/>
            <wp:effectExtent l="0" t="0" r="0" b="0"/>
            <wp:wrapSquare wrapText="bothSides"/>
            <wp:docPr id="2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</w:p>
    <w:p w14:paraId="75F0903F">
      <w:pPr>
        <w:pStyle w:val="7"/>
        <w:numPr>
          <w:ilvl w:val="0"/>
          <w:numId w:val="2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广告策略：选手选择百度竞价排名和央视的多个时段投放广告，吸引习惯型消费人群，增大销售额。熟悉广告的概念、分类；掌握广告的基本原则；掌握广告媒体选择应考虑的因素。</w:t>
      </w:r>
    </w:p>
    <w:p w14:paraId="70578F7C">
      <w:pPr>
        <w:pStyle w:val="7"/>
        <w:tabs>
          <w:tab w:val="left" w:pos="567"/>
        </w:tabs>
        <w:adjustRightInd w:val="0"/>
        <w:snapToGrid w:val="0"/>
        <w:spacing w:beforeLines="0" w:afterLines="0" w:line="560" w:lineRule="exact"/>
        <w:ind w:left="568" w:firstLine="0" w:firstLineChars="0"/>
        <w:rPr>
          <w:rFonts w:hint="eastAsia" w:ascii="仿宋_GB2312" w:hAnsi="华文仿宋"/>
        </w:rPr>
      </w:pPr>
      <w: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287655</wp:posOffset>
            </wp:positionH>
            <wp:positionV relativeFrom="paragraph">
              <wp:posOffset>21590</wp:posOffset>
            </wp:positionV>
            <wp:extent cx="4905375" cy="1781175"/>
            <wp:effectExtent l="0" t="0" r="9525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3997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/>
        </w:rPr>
        <w:t>6.产品策略</w:t>
      </w:r>
    </w:p>
    <w:p w14:paraId="3FD847E8">
      <w:pPr>
        <w:spacing w:line="560" w:lineRule="exact"/>
        <w:ind w:firstLine="560" w:firstLineChars="200"/>
        <w:rPr>
          <w:rFonts w:hint="eastAsia" w:ascii="仿宋_GB2312" w:hAnsi="华文仿宋" w:eastAsia="仿宋_GB2312"/>
          <w:color w:val="0D0D0D"/>
          <w:sz w:val="28"/>
          <w:szCs w:val="28"/>
        </w:rPr>
      </w:pPr>
      <w:r>
        <w:rPr>
          <w:rFonts w:hint="eastAsia" w:ascii="仿宋_GB2312" w:hAnsi="华文仿宋" w:eastAsia="仿宋_GB2312"/>
          <w:color w:val="0D0D0D"/>
          <w:sz w:val="28"/>
          <w:szCs w:val="28"/>
        </w:rPr>
        <w:t>根据目标市场选择，制定产品研发计划和产品生产计划。目前只有P1产品，P2 、P3、P4需要三个季度研发，研发费用10W、20W、30W。只有产品研发完成后，才能进行该产品的生产。</w:t>
      </w:r>
    </w:p>
    <w:p w14:paraId="063C1481">
      <w:pPr>
        <w:spacing w:line="560" w:lineRule="exact"/>
        <w:ind w:firstLine="560" w:firstLineChars="200"/>
        <w:rPr>
          <w:rFonts w:hint="eastAsia" w:ascii="仿宋_GB2312" w:hAnsi="华文仿宋" w:eastAsia="仿宋_GB2312"/>
          <w:color w:val="0D0D0D"/>
          <w:sz w:val="28"/>
          <w:szCs w:val="28"/>
        </w:rPr>
      </w:pPr>
      <w:r>
        <w:rPr>
          <w:rFonts w:hint="eastAsia" w:ascii="仿宋_GB2312" w:hAnsi="华文仿宋" w:eastAsia="仿宋_GB2312"/>
          <w:color w:val="0D0D0D"/>
          <w:sz w:val="28"/>
          <w:szCs w:val="28"/>
        </w:rPr>
        <w:t>熟悉产品市场生命周期的概念；掌握产品组合策略和差异化策略。</w:t>
      </w:r>
    </w:p>
    <w:p w14:paraId="5581E93E">
      <w:pPr>
        <w:pStyle w:val="7"/>
        <w:tabs>
          <w:tab w:val="left" w:pos="567"/>
        </w:tabs>
        <w:adjustRightInd w:val="0"/>
        <w:snapToGrid w:val="0"/>
        <w:spacing w:beforeLines="0" w:afterLines="0" w:line="560" w:lineRule="exact"/>
        <w:ind w:left="568" w:firstLine="0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7.财务</w:t>
      </w:r>
    </w:p>
    <w:p w14:paraId="3D897B2F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应收应付：及时进行应收账款和应付账款的结算。</w:t>
      </w:r>
    </w:p>
    <w:p w14:paraId="2D5F8CA3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融资：系统中向企业运营提供了三种融资方式：短期贷款、民间融资和长期贷款。选手可根据企业经营状态进行融资。</w:t>
      </w:r>
    </w:p>
    <w:p w14:paraId="4CDAED65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支付费用：零售商管理费、租赁费/维修费、库存管理费。</w:t>
      </w:r>
    </w:p>
    <w:p w14:paraId="29C59070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华文仿宋"/>
        </w:rPr>
      </w:pPr>
      <w:r>
        <w:rPr>
          <w:rFonts w:hint="eastAsia" w:ascii="仿宋_GB2312" w:hAnsi="华文仿宋"/>
        </w:rPr>
        <w:t>缴税：每年第一季度缴纳上年度企业所得税。</w:t>
      </w:r>
    </w:p>
    <w:p w14:paraId="19846963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仿宋"/>
          <w:color w:val="0D0D0D"/>
        </w:rPr>
      </w:pPr>
      <w:r>
        <w:rPr>
          <w:rFonts w:hint="eastAsia" w:ascii="仿宋_GB2312" w:hAnsi="华文仿宋"/>
        </w:rPr>
        <w:t>根据系统自动生成的财务报表进行盈亏分析，制定下一步营销策略组合。</w:t>
      </w:r>
    </w:p>
    <w:p w14:paraId="4F4567B4">
      <w:pPr>
        <w:pStyle w:val="7"/>
        <w:numPr>
          <w:ilvl w:val="0"/>
          <w:numId w:val="3"/>
        </w:numPr>
        <w:tabs>
          <w:tab w:val="left" w:pos="0"/>
          <w:tab w:val="left" w:pos="1418"/>
        </w:tabs>
        <w:adjustRightInd w:val="0"/>
        <w:snapToGrid w:val="0"/>
        <w:spacing w:beforeLines="0" w:afterLines="0" w:line="560" w:lineRule="exact"/>
        <w:ind w:left="0" w:firstLine="1276" w:firstLineChars="0"/>
        <w:rPr>
          <w:rFonts w:hint="eastAsia" w:ascii="仿宋_GB2312" w:hAnsi="仿宋"/>
          <w:color w:val="0D0D0D"/>
        </w:rPr>
      </w:pPr>
      <w:r>
        <w:rPr>
          <w:rFonts w:hint="eastAsia" w:ascii="仿宋_GB2312" w:hAnsi="华文仿宋"/>
        </w:rPr>
        <w:t>读懂财务报表，管理应收账款，维持良好的资金流，估算成本和毛利率，进行盈亏分析。</w:t>
      </w:r>
    </w:p>
    <w:p w14:paraId="6EE1C771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六、竞赛规则</w:t>
      </w:r>
    </w:p>
    <w:p w14:paraId="2A9024F9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报名资格：</w:t>
      </w:r>
      <w:bookmarkStart w:id="0" w:name="OLE_LINK2"/>
      <w:r>
        <w:rPr>
          <w:rFonts w:hint="eastAsia" w:ascii="仿宋_GB2312" w:hAnsi="仿宋"/>
        </w:rPr>
        <w:t>在校学生均可组队报名</w:t>
      </w:r>
      <w:r>
        <w:rPr>
          <w:rFonts w:ascii="仿宋_GB2312" w:hAnsi="仿宋"/>
        </w:rPr>
        <w:t xml:space="preserve"> </w:t>
      </w:r>
    </w:p>
    <w:bookmarkEnd w:id="0"/>
    <w:p w14:paraId="1474029A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报名要求：参赛队员在报名获得审核确认后，原则上不再更换，如筹备过程中，队员因故不能参赛，由指导老师出具书面说明并按相关规定补充人员并接受审核；竞赛开始后，参赛队不得更换参赛队员，允许队员缺席比赛。</w:t>
      </w:r>
    </w:p>
    <w:p w14:paraId="43758C8D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参赛队员入场：参赛选手应提前15分钟到达赛场，凭学生证或身份证检录，按要求入场，不得迟到早退。并在对应的座位入座，裁判负责核对参赛队员信息；严禁参赛选手携带与竞赛无关的电子设备、通讯设备及其他相关资料与用品入场。</w:t>
      </w:r>
    </w:p>
    <w:p w14:paraId="7F19272B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各参赛队伍打开电脑，进入竞赛平台，并修改各自密码。</w:t>
      </w:r>
    </w:p>
    <w:p w14:paraId="342A10D7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由裁判长宣布比赛开始，各参赛队伍开始竞赛。</w:t>
      </w:r>
    </w:p>
    <w:p w14:paraId="3091E031">
      <w:pPr>
        <w:pStyle w:val="7"/>
        <w:numPr>
          <w:ilvl w:val="0"/>
          <w:numId w:val="4"/>
        </w:numPr>
        <w:tabs>
          <w:tab w:val="left" w:pos="851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竞赛过程中，如有疑问，参赛选手应举手示意，项目裁判长应按照有关要求及时予以答疑。如遇设备或软件等故障，参赛选手应举手示意。项目裁判长、技术人员等应及时予以解决。确因计算机软件或硬件故障，致使操作无法继续的，经项目裁判长确认，予以启用备用计算机。</w:t>
      </w:r>
    </w:p>
    <w:p w14:paraId="12863E93">
      <w:pPr>
        <w:pStyle w:val="7"/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比赛开始后，在运营过程中，赛场裁判负责控制招标过程。</w:t>
      </w:r>
    </w:p>
    <w:p w14:paraId="3E2614BD">
      <w:pPr>
        <w:pStyle w:val="7"/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按照竞赛规程，在经营初赛两个、决赛三个会计年度后，裁判公布竞赛结果，并将成绩登</w:t>
      </w:r>
      <w:r>
        <w:rPr>
          <w:rFonts w:hint="eastAsia"/>
        </w:rPr>
        <w:t>录</w:t>
      </w:r>
      <w:r>
        <w:rPr>
          <w:rFonts w:hint="eastAsia" w:ascii="仿宋_GB2312" w:hAnsi="仿宋"/>
        </w:rPr>
        <w:t>在竞赛成绩单上。</w:t>
      </w:r>
    </w:p>
    <w:p w14:paraId="790C4DA0">
      <w:pPr>
        <w:pStyle w:val="7"/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ascii="仿宋_GB2312" w:hAnsi="仿宋"/>
        </w:rPr>
      </w:pPr>
      <w:r>
        <w:rPr>
          <w:rFonts w:hint="eastAsia" w:ascii="仿宋_GB2312" w:hAnsi="仿宋"/>
        </w:rPr>
        <w:t>赛场裁判将数据进行备份和保存，成绩单提交给大赛组委会备案。</w:t>
      </w:r>
    </w:p>
    <w:p w14:paraId="2EEBAC93">
      <w:pPr>
        <w:pStyle w:val="7"/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beforeLines="0" w:afterLines="0" w:line="500" w:lineRule="exact"/>
        <w:ind w:left="0" w:firstLine="567" w:firstLineChars="0"/>
        <w:rPr>
          <w:rFonts w:hint="eastAsia" w:cs="宋体"/>
          <w:b/>
        </w:rPr>
      </w:pPr>
      <w:r>
        <w:rPr>
          <w:rFonts w:hint="eastAsia"/>
        </w:rPr>
        <w:t>大赛组委会当场公布成绩。</w:t>
      </w:r>
    </w:p>
    <w:p w14:paraId="7D7C214A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七、</w:t>
      </w:r>
      <w:r>
        <w:rPr>
          <w:rFonts w:hint="eastAsia" w:ascii="仿宋_GB2312" w:hAnsi="仿宋" w:eastAsia="仿宋_GB2312"/>
          <w:b/>
          <w:sz w:val="28"/>
          <w:szCs w:val="28"/>
        </w:rPr>
        <w:t>技术规范</w:t>
      </w:r>
    </w:p>
    <w:p w14:paraId="6E166D7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" w:eastAsia="仿宋_GB2312"/>
          <w:color w:val="0D0D0D"/>
          <w:sz w:val="28"/>
          <w:szCs w:val="28"/>
        </w:rPr>
      </w:pPr>
      <w:r>
        <w:rPr>
          <w:rFonts w:hint="eastAsia" w:ascii="仿宋_GB2312" w:hAnsi="仿宋" w:eastAsia="仿宋_GB2312"/>
          <w:color w:val="0D0D0D"/>
          <w:sz w:val="28"/>
          <w:szCs w:val="28"/>
        </w:rPr>
        <w:t>参赛团队遵循以下规范：《助理营销师国家职业标准》（国家职业资格三级）</w:t>
      </w:r>
    </w:p>
    <w:p w14:paraId="7E230054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八、</w:t>
      </w:r>
      <w:r>
        <w:rPr>
          <w:rFonts w:hint="eastAsia" w:ascii="仿宋_GB2312" w:hAnsi="仿宋" w:eastAsia="仿宋_GB2312"/>
          <w:b/>
          <w:sz w:val="28"/>
          <w:szCs w:val="28"/>
        </w:rPr>
        <w:t>技术平台</w:t>
      </w:r>
    </w:p>
    <w:tbl>
      <w:tblPr>
        <w:tblStyle w:val="4"/>
        <w:tblW w:w="9035" w:type="dxa"/>
        <w:tblInd w:w="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6663"/>
      </w:tblGrid>
      <w:tr w14:paraId="05B1E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2" w:type="dxa"/>
            <w:noWrap w:val="0"/>
            <w:vAlign w:val="center"/>
          </w:tcPr>
          <w:p w14:paraId="061C83B2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" w:eastAsia="仿宋_GB2312"/>
                <w:b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b/>
                <w:color w:val="0D0D0D"/>
                <w:kern w:val="2"/>
              </w:rPr>
              <w:t>品名</w:t>
            </w:r>
          </w:p>
        </w:tc>
        <w:tc>
          <w:tcPr>
            <w:tcW w:w="6663" w:type="dxa"/>
            <w:noWrap w:val="0"/>
            <w:vAlign w:val="center"/>
          </w:tcPr>
          <w:p w14:paraId="78A4577C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" w:eastAsia="仿宋_GB2312"/>
                <w:b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b/>
                <w:color w:val="0D0D0D"/>
                <w:kern w:val="2"/>
              </w:rPr>
              <w:t>规格要求说明</w:t>
            </w:r>
          </w:p>
        </w:tc>
      </w:tr>
      <w:tr w14:paraId="14EB2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72" w:type="dxa"/>
            <w:noWrap w:val="0"/>
            <w:vAlign w:val="center"/>
          </w:tcPr>
          <w:p w14:paraId="37CE5899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color w:val="0D0D0D"/>
                <w:kern w:val="2"/>
              </w:rPr>
              <w:t>网络连接设备</w:t>
            </w:r>
          </w:p>
        </w:tc>
        <w:tc>
          <w:tcPr>
            <w:tcW w:w="6663" w:type="dxa"/>
            <w:noWrap w:val="0"/>
            <w:vAlign w:val="center"/>
          </w:tcPr>
          <w:p w14:paraId="0EBEAE0E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color w:val="0D0D0D"/>
                <w:kern w:val="2"/>
              </w:rPr>
              <w:t>提供网络布线、交换机、竞赛用服务器</w:t>
            </w:r>
          </w:p>
        </w:tc>
      </w:tr>
      <w:tr w14:paraId="091CD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72" w:type="dxa"/>
            <w:noWrap w:val="0"/>
            <w:vAlign w:val="center"/>
          </w:tcPr>
          <w:p w14:paraId="3432058B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color w:val="0D0D0D"/>
                <w:kern w:val="2"/>
              </w:rPr>
              <w:t>竞赛服务器</w:t>
            </w:r>
          </w:p>
        </w:tc>
        <w:tc>
          <w:tcPr>
            <w:tcW w:w="6663" w:type="dxa"/>
            <w:noWrap w:val="0"/>
            <w:vAlign w:val="center"/>
          </w:tcPr>
          <w:p w14:paraId="46543D55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ascii="仿宋_GB2312" w:hAnsi="仿宋" w:eastAsia="仿宋_GB2312"/>
                <w:color w:val="0D0D0D"/>
                <w:kern w:val="2"/>
              </w:rPr>
              <w:t>CPU：2颗英特尔至强E5系列；内存：8GB以上；硬盘：500G以上；网卡：千兆网卡；操作系统：Windows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2008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Server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Enterprise，安装IIS7.5；数据库：Microsoft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SQL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Server</w:t>
            </w:r>
            <w:r>
              <w:rPr>
                <w:rFonts w:hint="eastAsia" w:cs="宋体"/>
                <w:color w:val="0D0D0D"/>
                <w:kern w:val="2"/>
              </w:rPr>
              <w:t> </w:t>
            </w:r>
            <w:r>
              <w:rPr>
                <w:rFonts w:ascii="仿宋_GB2312" w:hAnsi="仿宋" w:eastAsia="仿宋_GB2312"/>
                <w:color w:val="0D0D0D"/>
                <w:kern w:val="2"/>
              </w:rPr>
              <w:t>2005；</w:t>
            </w:r>
          </w:p>
        </w:tc>
      </w:tr>
      <w:tr w14:paraId="545DA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72" w:type="dxa"/>
            <w:noWrap w:val="0"/>
            <w:vAlign w:val="center"/>
          </w:tcPr>
          <w:p w14:paraId="42CD4424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color w:val="0D0D0D"/>
                <w:kern w:val="2"/>
              </w:rPr>
              <w:t>竞赛软件</w:t>
            </w:r>
          </w:p>
        </w:tc>
        <w:tc>
          <w:tcPr>
            <w:tcW w:w="6663" w:type="dxa"/>
            <w:noWrap w:val="0"/>
            <w:vAlign w:val="center"/>
          </w:tcPr>
          <w:p w14:paraId="29A1EE44">
            <w:pPr>
              <w:pStyle w:val="3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ascii="仿宋_GB2312" w:hAnsi="仿宋" w:eastAsia="仿宋_GB2312"/>
                <w:color w:val="0D0D0D"/>
                <w:kern w:val="2"/>
              </w:rPr>
            </w:pPr>
            <w:r>
              <w:rPr>
                <w:rFonts w:hint="eastAsia" w:ascii="仿宋_GB2312" w:hAnsi="仿宋" w:eastAsia="仿宋_GB2312"/>
                <w:color w:val="0D0D0D"/>
                <w:kern w:val="2"/>
              </w:rPr>
              <w:t>中教畅享“市场营销综合实训与竞赛系统”</w:t>
            </w:r>
          </w:p>
        </w:tc>
      </w:tr>
    </w:tbl>
    <w:p w14:paraId="68BE6405">
      <w:pPr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b/>
          <w:sz w:val="28"/>
          <w:szCs w:val="28"/>
        </w:rPr>
        <w:t>九、成绩评定</w:t>
      </w:r>
    </w:p>
    <w:p w14:paraId="41904610">
      <w:pPr>
        <w:spacing w:line="500" w:lineRule="exact"/>
        <w:ind w:firstLine="560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1.裁判组：由经济管理学院营销技能课程组相关教师组成。</w:t>
      </w:r>
    </w:p>
    <w:p w14:paraId="4BD9EF05">
      <w:pPr>
        <w:widowControl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2.评分方法：评分方式为机考评分。评分裁判记录系统评分，填写相应的评分表格后签字确认。在正式公布比赛成绩之前，任何人员不得随意泄露过程评分和结果评分的评分结果。</w:t>
      </w:r>
    </w:p>
    <w:p w14:paraId="58593322">
      <w:pPr>
        <w:widowControl/>
        <w:snapToGrid w:val="0"/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评分细则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736"/>
      </w:tblGrid>
      <w:tr w14:paraId="1706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4497902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0" w:type="auto"/>
            <w:noWrap w:val="0"/>
            <w:vAlign w:val="top"/>
          </w:tcPr>
          <w:p w14:paraId="38096C0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</w:tr>
      <w:tr w14:paraId="480B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C0679B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情境营销</w:t>
            </w:r>
          </w:p>
        </w:tc>
        <w:tc>
          <w:tcPr>
            <w:tcW w:w="0" w:type="auto"/>
            <w:noWrap w:val="0"/>
            <w:vAlign w:val="top"/>
          </w:tcPr>
          <w:p w14:paraId="4F9A83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市场营销核心技能：目标市场分析与选择、营销策略组合和财务报表分析的综合应用。每个赛场各队经营三个会计年度关帐后，软件自动生成成绩，根据各队成绩排序。</w:t>
            </w:r>
          </w:p>
        </w:tc>
      </w:tr>
    </w:tbl>
    <w:p w14:paraId="650ED4EC"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十、奖项设定</w:t>
      </w:r>
    </w:p>
    <w:p w14:paraId="1F3253DB">
      <w:pPr>
        <w:shd w:val="clear" w:color="auto" w:fill="FFFFFF"/>
        <w:snapToGrid w:val="0"/>
        <w:spacing w:line="6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本次竞赛设团体一等奖、二等奖、三等奖若干名，由学院颁发获奖证书和奖励。竞赛团体奖的设定按《安徽电子信息职业技术学院技能竞赛管理办法（修订）》（院办〔2025〕18号）执行。</w:t>
      </w:r>
    </w:p>
    <w:p w14:paraId="417D4979">
      <w:pPr>
        <w:spacing w:line="50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十一、比赛时间</w:t>
      </w:r>
    </w:p>
    <w:p w14:paraId="47CE6469">
      <w:pPr>
        <w:spacing w:line="50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初赛定于五月下旬，各分赛场开展时间具体通知，决赛定于6月4日（如有变动另行通知）。</w:t>
      </w:r>
    </w:p>
    <w:p w14:paraId="0A0D3D85">
      <w:pPr>
        <w:spacing w:line="50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十二、赛项安全</w:t>
      </w:r>
      <w:bookmarkStart w:id="1" w:name="_Toc361563588"/>
      <w:r>
        <w:rPr>
          <w:rFonts w:hint="eastAsia" w:ascii="仿宋_GB2312" w:hAnsi="仿宋" w:eastAsia="仿宋_GB2312"/>
          <w:b/>
          <w:sz w:val="28"/>
          <w:szCs w:val="28"/>
        </w:rPr>
        <w:t>处罚措施</w:t>
      </w:r>
      <w:bookmarkEnd w:id="1"/>
    </w:p>
    <w:p w14:paraId="6FDAD373">
      <w:pPr>
        <w:pStyle w:val="7"/>
        <w:adjustRightInd w:val="0"/>
        <w:snapToGrid w:val="0"/>
        <w:spacing w:beforeLines="0" w:afterLines="0" w:line="500" w:lineRule="exact"/>
        <w:ind w:left="560" w:firstLine="0" w:firstLineChars="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1.因参赛队伍原因造成重大安全事故的，取消其获奖资格。</w:t>
      </w:r>
    </w:p>
    <w:p w14:paraId="7F7619EC">
      <w:pPr>
        <w:pStyle w:val="7"/>
        <w:adjustRightInd w:val="0"/>
        <w:snapToGrid w:val="0"/>
        <w:spacing w:beforeLines="0" w:afterLines="0" w:line="500" w:lineRule="exact"/>
        <w:ind w:firstLine="56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2.参赛队伍有发生重大安全事故隐患，经赛场工作人员提示、警告无效的，可取消其继续比赛的资格。</w:t>
      </w:r>
    </w:p>
    <w:p w14:paraId="619A051E">
      <w:pPr>
        <w:pStyle w:val="7"/>
        <w:adjustRightInd w:val="0"/>
        <w:snapToGrid w:val="0"/>
        <w:spacing w:beforeLines="0" w:afterLines="0" w:line="500" w:lineRule="exact"/>
        <w:ind w:firstLine="56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3.赛事工作人员违规的，按照相应的制度追究责任。情节恶劣并造成重大安全事故的，由司法机关追究相应法律责任。</w:t>
      </w:r>
    </w:p>
    <w:p w14:paraId="5B03A42B">
      <w:pPr>
        <w:pStyle w:val="7"/>
        <w:adjustRightInd w:val="0"/>
        <w:snapToGrid w:val="0"/>
        <w:spacing w:beforeLines="0" w:afterLines="0" w:line="500" w:lineRule="exact"/>
        <w:ind w:firstLine="56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4.各队成员按照学院新冠肺炎疫情防控要求严格执行防疫措施，否则取消比赛资格。</w:t>
      </w:r>
    </w:p>
    <w:p w14:paraId="172E4459">
      <w:pPr>
        <w:spacing w:line="500" w:lineRule="exac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十三、附则</w:t>
      </w:r>
    </w:p>
    <w:p w14:paraId="106815BD">
      <w:pPr>
        <w:pStyle w:val="7"/>
        <w:adjustRightInd w:val="0"/>
        <w:snapToGrid w:val="0"/>
        <w:spacing w:beforeLines="0" w:afterLines="0" w:line="500" w:lineRule="exact"/>
        <w:ind w:firstLine="56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本规程由经济管理学院竞赛组委会负责解释。未尽事宜，另行通知。</w:t>
      </w:r>
    </w:p>
    <w:p w14:paraId="700569FB">
      <w:pPr>
        <w:pStyle w:val="7"/>
        <w:adjustRightInd w:val="0"/>
        <w:snapToGrid w:val="0"/>
        <w:spacing w:beforeLines="0" w:afterLines="0" w:line="500" w:lineRule="exact"/>
        <w:ind w:firstLine="562"/>
        <w:rPr>
          <w:rFonts w:hint="eastAsia" w:ascii="仿宋_GB2312" w:hAnsi="仿宋"/>
          <w:b/>
        </w:rPr>
      </w:pPr>
    </w:p>
    <w:p w14:paraId="0314E683">
      <w:pPr>
        <w:pStyle w:val="7"/>
        <w:adjustRightInd w:val="0"/>
        <w:snapToGrid w:val="0"/>
        <w:spacing w:beforeLines="0" w:afterLines="0" w:line="500" w:lineRule="exact"/>
        <w:ind w:firstLine="562"/>
        <w:rPr>
          <w:rFonts w:hint="eastAsia" w:ascii="仿宋_GB2312" w:hAnsi="仿宋"/>
          <w:b/>
        </w:rPr>
      </w:pPr>
    </w:p>
    <w:p w14:paraId="461C27A9">
      <w:pPr>
        <w:pStyle w:val="7"/>
        <w:wordWrap w:val="0"/>
        <w:adjustRightInd w:val="0"/>
        <w:snapToGrid w:val="0"/>
        <w:spacing w:beforeLines="0" w:afterLines="0" w:line="500" w:lineRule="exact"/>
        <w:ind w:firstLine="562"/>
        <w:jc w:val="right"/>
        <w:rPr>
          <w:rFonts w:hint="eastAsia" w:ascii="仿宋_GB2312" w:hAnsi="仿宋"/>
          <w:b/>
        </w:rPr>
      </w:pPr>
      <w:r>
        <w:rPr>
          <w:rFonts w:hint="eastAsia" w:ascii="仿宋_GB2312" w:hAnsi="仿宋"/>
          <w:b/>
        </w:rPr>
        <w:t xml:space="preserve">安徽电子信息职业技术学院 </w:t>
      </w:r>
    </w:p>
    <w:p w14:paraId="2EBE2348">
      <w:pPr>
        <w:pStyle w:val="7"/>
        <w:wordWrap w:val="0"/>
        <w:adjustRightInd w:val="0"/>
        <w:snapToGrid w:val="0"/>
        <w:spacing w:beforeLines="0" w:afterLines="0" w:line="500" w:lineRule="exact"/>
        <w:ind w:firstLine="562"/>
        <w:jc w:val="right"/>
        <w:rPr>
          <w:rFonts w:hint="eastAsia" w:ascii="仿宋_GB2312" w:hAnsi="仿宋"/>
          <w:b/>
        </w:rPr>
      </w:pPr>
      <w:r>
        <w:rPr>
          <w:rFonts w:hint="eastAsia" w:ascii="仿宋_GB2312" w:hAnsi="仿宋"/>
          <w:b/>
        </w:rPr>
        <w:t xml:space="preserve">教学科研处  经济管理学院 </w:t>
      </w:r>
    </w:p>
    <w:p w14:paraId="36263451">
      <w:pPr>
        <w:pStyle w:val="7"/>
        <w:wordWrap w:val="0"/>
        <w:adjustRightInd w:val="0"/>
        <w:snapToGrid w:val="0"/>
        <w:spacing w:beforeLines="0" w:afterLines="0" w:line="500" w:lineRule="exact"/>
        <w:ind w:firstLine="562"/>
        <w:jc w:val="right"/>
        <w:rPr>
          <w:rFonts w:hint="eastAsia" w:ascii="仿宋_GB2312" w:hAnsi="仿宋"/>
          <w:b/>
        </w:rPr>
      </w:pPr>
      <w:r>
        <w:rPr>
          <w:rFonts w:hint="eastAsia" w:ascii="仿宋_GB2312" w:hAnsi="仿宋"/>
          <w:b/>
        </w:rPr>
        <w:t xml:space="preserve">二〇二五年五月    </w:t>
      </w:r>
    </w:p>
    <w:p w14:paraId="1620709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21AD2"/>
    <w:multiLevelType w:val="multilevel"/>
    <w:tmpl w:val="11121AD2"/>
    <w:lvl w:ilvl="0" w:tentative="0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sz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F57B6F"/>
    <w:multiLevelType w:val="multilevel"/>
    <w:tmpl w:val="19F57B6F"/>
    <w:lvl w:ilvl="0" w:tentative="0">
      <w:start w:val="1"/>
      <w:numFmt w:val="decimal"/>
      <w:lvlText w:val="（%1）"/>
      <w:lvlJc w:val="right"/>
      <w:pPr>
        <w:ind w:left="1271" w:hanging="4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9A13149"/>
    <w:multiLevelType w:val="multilevel"/>
    <w:tmpl w:val="59A13149"/>
    <w:lvl w:ilvl="0" w:tentative="0">
      <w:start w:val="1"/>
      <w:numFmt w:val="decimal"/>
      <w:lvlText w:val="（%1）"/>
      <w:lvlJc w:val="right"/>
      <w:pPr>
        <w:ind w:left="8784" w:hanging="4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4A1195D"/>
    <w:multiLevelType w:val="multilevel"/>
    <w:tmpl w:val="74A1195D"/>
    <w:lvl w:ilvl="0" w:tentative="0">
      <w:start w:val="1"/>
      <w:numFmt w:val="decimal"/>
      <w:lvlText w:val="（%1）"/>
      <w:lvlJc w:val="right"/>
      <w:pPr>
        <w:ind w:left="1260" w:hanging="4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5162"/>
    <w:rsid w:val="667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  <w:szCs w:val="24"/>
    </w:rPr>
  </w:style>
  <w:style w:type="character" w:customStyle="1" w:styleId="6">
    <w:name w:val="hps"/>
    <w:qFormat/>
    <w:uiPriority w:val="0"/>
  </w:style>
  <w:style w:type="paragraph" w:customStyle="1" w:styleId="7">
    <w:name w:val="5-内文"/>
    <w:basedOn w:val="1"/>
    <w:qFormat/>
    <w:uiPriority w:val="0"/>
    <w:pPr>
      <w:spacing w:beforeLines="25" w:afterLines="25" w:line="300" w:lineRule="auto"/>
      <w:ind w:firstLine="200" w:firstLineChars="200"/>
    </w:pPr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2025-06-06T08:25:00Z</dcterms:created>
  <dc:creator>杨蕴恒</dc:creator>
  <cp:lastModifiedBy>杨蕴恒</cp:lastModifiedBy>
  <dcterms:modified xsi:type="dcterms:W3CDTF">2025-06-06T08:25:30Z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F2766DBFCFF74BE89A368953FCE2BB83_11</vt:lpwstr>
  </property>
  <property fmtid="{D5CDD505-2E9C-101B-9397-08002B2CF9AE}" pid="4" name="KSOTemplateDocerSaveRecord">
    <vt:lpwstr>eyJoZGlkIjoiNWJjODNmYTQ3NjM1YzI1NzVjYjc0MWY0MzUzYjY3ZWMiLCJ1c2VySWQiOiI1NDcwOTA4MjMifQ==</vt:lpwstr>
  </property>
</Properties>
</file>